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F4BBF" w14:textId="77777777" w:rsidR="00025F51" w:rsidRDefault="00025F51" w:rsidP="00025F51">
      <w:pPr>
        <w:rPr>
          <w:b/>
          <w:bCs/>
          <w:sz w:val="26"/>
          <w:szCs w:val="26"/>
        </w:rPr>
      </w:pPr>
    </w:p>
    <w:p w14:paraId="3C49D6CF" w14:textId="01E1B311" w:rsidR="00742271" w:rsidRPr="00742271" w:rsidRDefault="00742271" w:rsidP="00025F51">
      <w:pPr>
        <w:rPr>
          <w:b/>
          <w:bCs/>
          <w:sz w:val="26"/>
          <w:szCs w:val="26"/>
        </w:rPr>
      </w:pPr>
      <w:r w:rsidRPr="00742271">
        <w:rPr>
          <w:b/>
          <w:bCs/>
          <w:sz w:val="26"/>
          <w:szCs w:val="26"/>
        </w:rPr>
        <w:t>Les vidéos courtes sur TikTok et Instagram affectent la capacité de décision</w:t>
      </w:r>
    </w:p>
    <w:p w14:paraId="6791A4AD" w14:textId="02318ABF" w:rsidR="00742271" w:rsidRPr="00742271" w:rsidRDefault="00742271" w:rsidP="00742271">
      <w:pPr>
        <w:rPr>
          <w:b/>
          <w:bCs/>
        </w:rPr>
      </w:pPr>
      <w:r>
        <w:rPr>
          <w:b/>
          <w:bCs/>
        </w:rPr>
        <w:t xml:space="preserve">Par </w:t>
      </w:r>
      <w:hyperlink r:id="rId7" w:history="1">
        <w:r w:rsidRPr="00742271">
          <w:rPr>
            <w:b/>
            <w:bCs/>
          </w:rPr>
          <w:t>Albane Clavere</w:t>
        </w:r>
      </w:hyperlink>
      <w:r w:rsidRPr="00742271"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0396" w14:paraId="617EAB30" w14:textId="77777777" w:rsidTr="00440396">
        <w:tc>
          <w:tcPr>
            <w:tcW w:w="4531" w:type="dxa"/>
          </w:tcPr>
          <w:p w14:paraId="56EE5931" w14:textId="77777777" w:rsidR="00440396" w:rsidRDefault="00440396" w:rsidP="005C012D">
            <w:pPr>
              <w:spacing w:line="600" w:lineRule="auto"/>
              <w:jc w:val="both"/>
            </w:pPr>
            <w:r w:rsidRPr="003766C2">
              <w:rPr>
                <w:highlight w:val="yellow"/>
              </w:rPr>
              <w:t>Regarder en boucle des vidéos</w:t>
            </w:r>
            <w:r w:rsidRPr="00742271">
              <w:t xml:space="preserve"> courtes sur les réseaux sociaux </w:t>
            </w:r>
            <w:r w:rsidRPr="00FD3C68">
              <w:rPr>
                <w:highlight w:val="yellow"/>
              </w:rPr>
              <w:t>affaiblit</w:t>
            </w:r>
            <w:r w:rsidRPr="00742271">
              <w:t xml:space="preserve"> le contrôle cognitif et favorise des choix risqués et impulsifs.</w:t>
            </w:r>
          </w:p>
          <w:p w14:paraId="10E08F8F" w14:textId="77777777" w:rsidR="00440396" w:rsidRDefault="00440396" w:rsidP="005C012D">
            <w:pPr>
              <w:spacing w:line="600" w:lineRule="auto"/>
              <w:rPr>
                <w:b/>
                <w:bCs/>
              </w:rPr>
            </w:pPr>
          </w:p>
          <w:p w14:paraId="11F023DD" w14:textId="705E5CFD" w:rsidR="00440396" w:rsidRDefault="00440396" w:rsidP="005C012D">
            <w:pPr>
              <w:spacing w:line="600" w:lineRule="auto"/>
              <w:jc w:val="both"/>
            </w:pPr>
            <w:r w:rsidRPr="00440396">
              <w:t>L</w:t>
            </w:r>
            <w:r w:rsidRPr="00742271">
              <w:t xml:space="preserve">es vidéos courtes </w:t>
            </w:r>
            <w:r w:rsidRPr="00FD3C68">
              <w:rPr>
                <w:highlight w:val="yellow"/>
              </w:rPr>
              <w:t>pullulent</w:t>
            </w:r>
            <w:r w:rsidRPr="00742271">
              <w:t xml:space="preserve"> sur nos réseaux sociaux. </w:t>
            </w:r>
            <w:r w:rsidRPr="00FD3C68">
              <w:rPr>
                <w:highlight w:val="yellow"/>
              </w:rPr>
              <w:t>N</w:t>
            </w:r>
            <w:r w:rsidRPr="00FD3C68">
              <w:rPr>
                <w:highlight w:val="yellow"/>
              </w:rPr>
              <w:t>ombre d’entre nous</w:t>
            </w:r>
            <w:r w:rsidRPr="00742271">
              <w:t xml:space="preserve"> (surtout les plus jeunes) </w:t>
            </w:r>
            <w:r w:rsidRPr="00FD3C68">
              <w:rPr>
                <w:highlight w:val="yellow"/>
              </w:rPr>
              <w:t>y sont littéralement accros</w:t>
            </w:r>
            <w:r w:rsidRPr="00742271">
              <w:t xml:space="preserve">. Problème, ce zapping permanent fragmente les capacités d’attention. </w:t>
            </w:r>
            <w:r>
              <w:t>Il</w:t>
            </w:r>
            <w:r w:rsidRPr="00742271">
              <w:t xml:space="preserve"> perturberait même la prise de décision, à en croire une étude menée </w:t>
            </w:r>
            <w:r>
              <w:t xml:space="preserve">par une </w:t>
            </w:r>
            <w:r>
              <w:t>u</w:t>
            </w:r>
            <w:r>
              <w:t>niversité chinoise.</w:t>
            </w:r>
          </w:p>
          <w:p w14:paraId="2F1A24B3" w14:textId="77777777" w:rsidR="00440396" w:rsidRPr="00742271" w:rsidRDefault="00440396" w:rsidP="005C012D">
            <w:pPr>
              <w:spacing w:line="600" w:lineRule="auto"/>
              <w:jc w:val="both"/>
            </w:pPr>
          </w:p>
          <w:p w14:paraId="449C90A1" w14:textId="5F6456D5" w:rsidR="00440396" w:rsidRDefault="00440396" w:rsidP="005C012D">
            <w:pPr>
              <w:spacing w:line="600" w:lineRule="auto"/>
              <w:jc w:val="both"/>
            </w:pPr>
            <w:r w:rsidRPr="00742271">
              <w:t xml:space="preserve">Dans leurs travaux, les chercheurs ont soumis 36 étudiants à deux types de tests. Tout d’abord, ils ont </w:t>
            </w:r>
            <w:r w:rsidRPr="00CA25CA">
              <w:rPr>
                <w:highlight w:val="cyan"/>
              </w:rPr>
              <w:t>évalué</w:t>
            </w:r>
            <w:r w:rsidRPr="00742271">
              <w:t xml:space="preserve"> leur degré d’addiction aux vidéos courtes grâce à un questionnaire. Ensuite, ils ont </w:t>
            </w:r>
            <w:r w:rsidRPr="00CA25CA">
              <w:rPr>
                <w:highlight w:val="cyan"/>
              </w:rPr>
              <w:t>mesuré</w:t>
            </w:r>
            <w:r w:rsidRPr="00742271">
              <w:t xml:space="preserve"> leurs capacités de prise de décision en situation d’incertitude. </w:t>
            </w:r>
            <w:r w:rsidRPr="00742271">
              <w:lastRenderedPageBreak/>
              <w:t xml:space="preserve">Pour cela, ils </w:t>
            </w:r>
            <w:r w:rsidRPr="00FD3C68">
              <w:rPr>
                <w:highlight w:val="yellow"/>
              </w:rPr>
              <w:t>leur</w:t>
            </w:r>
            <w:r w:rsidRPr="00742271">
              <w:t xml:space="preserve"> ont </w:t>
            </w:r>
            <w:r w:rsidRPr="00CA25CA">
              <w:rPr>
                <w:highlight w:val="cyan"/>
              </w:rPr>
              <w:t>proposé</w:t>
            </w:r>
            <w:r w:rsidRPr="00742271">
              <w:t xml:space="preserve"> de miser de l’argent, avec une probabilité égale de gagner ou de perdre, les montants des gains et des pertes </w:t>
            </w:r>
            <w:r w:rsidRPr="00FD3C68">
              <w:rPr>
                <w:highlight w:val="yellow"/>
              </w:rPr>
              <w:t>variant</w:t>
            </w:r>
            <w:r w:rsidRPr="00742271">
              <w:t xml:space="preserve"> à chaque essai. Résultat : les personnes les plus </w:t>
            </w:r>
            <w:r w:rsidRPr="00CA25CA">
              <w:rPr>
                <w:highlight w:val="yellow"/>
              </w:rPr>
              <w:t>addictes</w:t>
            </w:r>
            <w:r w:rsidRPr="00742271">
              <w:t xml:space="preserve"> aux vidéos courtes avaient tendance à privilégier les situations qui rapportent beaucoup d’argent, sans se préoccuper des potentielles pertes </w:t>
            </w:r>
            <w:r>
              <w:t xml:space="preserve">        (</w:t>
            </w:r>
            <w:r w:rsidRPr="00742271">
              <w:t>mêmes lorsque celles-ci étaient substantielles</w:t>
            </w:r>
            <w:r>
              <w:t>)</w:t>
            </w:r>
            <w:r w:rsidRPr="00742271">
              <w:t xml:space="preserve">. </w:t>
            </w:r>
            <w:r>
              <w:t>E</w:t>
            </w:r>
            <w:r w:rsidRPr="00742271">
              <w:t>lles s’en sortaient finalement moins bien que les autres. Les chercheurs ont alors étudié leur cerveau</w:t>
            </w:r>
            <w:r>
              <w:t xml:space="preserve"> grâce à l’IRM</w:t>
            </w:r>
            <w:r w:rsidRPr="00742271">
              <w:t xml:space="preserve"> : chez elles, </w:t>
            </w:r>
            <w:r w:rsidRPr="003766C2">
              <w:rPr>
                <w:highlight w:val="yellow"/>
              </w:rPr>
              <w:t>une zone impliquée</w:t>
            </w:r>
            <w:r w:rsidRPr="00742271">
              <w:t xml:space="preserve"> notamment dans le contrôle des impulsions</w:t>
            </w:r>
            <w:r>
              <w:t xml:space="preserve"> </w:t>
            </w:r>
            <w:r w:rsidRPr="00FD3C68">
              <w:rPr>
                <w:highlight w:val="yellow"/>
              </w:rPr>
              <w:t>voit son activité diminuer</w:t>
            </w:r>
            <w:r w:rsidRPr="00742271">
              <w:t xml:space="preserve"> quand une récompense alléchante se profile. En d’autres termes, </w:t>
            </w:r>
            <w:r>
              <w:t xml:space="preserve">ces participants à l’expérience </w:t>
            </w:r>
            <w:r w:rsidRPr="00742271">
              <w:t>exerçaient moins de contrôle sur leurs décisions.</w:t>
            </w:r>
          </w:p>
          <w:p w14:paraId="2CA08A42" w14:textId="77777777" w:rsidR="00440396" w:rsidRPr="00742271" w:rsidRDefault="00440396" w:rsidP="005C012D">
            <w:pPr>
              <w:spacing w:line="600" w:lineRule="auto"/>
              <w:jc w:val="both"/>
            </w:pPr>
          </w:p>
          <w:p w14:paraId="4D9C92D9" w14:textId="77777777" w:rsidR="003766C2" w:rsidRDefault="00440396" w:rsidP="005C012D">
            <w:pPr>
              <w:spacing w:line="600" w:lineRule="auto"/>
              <w:jc w:val="both"/>
            </w:pPr>
            <w:r>
              <w:lastRenderedPageBreak/>
              <w:t>E</w:t>
            </w:r>
            <w:r w:rsidRPr="00742271">
              <w:t xml:space="preserve">xposer </w:t>
            </w:r>
            <w:r w:rsidRPr="003766C2">
              <w:rPr>
                <w:highlight w:val="yellow"/>
              </w:rPr>
              <w:t>fréquemment</w:t>
            </w:r>
            <w:r>
              <w:t xml:space="preserve"> </w:t>
            </w:r>
            <w:r w:rsidRPr="00742271">
              <w:t xml:space="preserve">son cerveau à des formats distrayants et courts a donc un effet, et non des moindres : on devient enclin à des décisions rapides qui semblent apporter un gain apparent immédiat, sans évaluer réellement les conséquences à long terme… </w:t>
            </w:r>
          </w:p>
          <w:p w14:paraId="2EFD6140" w14:textId="77777777" w:rsidR="003766C2" w:rsidRDefault="003766C2" w:rsidP="005C012D">
            <w:pPr>
              <w:spacing w:line="600" w:lineRule="auto"/>
              <w:jc w:val="both"/>
              <w:rPr>
                <w:highlight w:val="yellow"/>
              </w:rPr>
            </w:pPr>
          </w:p>
          <w:p w14:paraId="456544EF" w14:textId="0ABA7A95" w:rsidR="00440396" w:rsidRPr="00742271" w:rsidRDefault="00440396" w:rsidP="005C012D">
            <w:pPr>
              <w:spacing w:line="600" w:lineRule="auto"/>
              <w:jc w:val="both"/>
            </w:pPr>
            <w:r w:rsidRPr="00FD3C68">
              <w:rPr>
                <w:highlight w:val="yellow"/>
              </w:rPr>
              <w:t>À vos risques et périls !</w:t>
            </w:r>
          </w:p>
          <w:p w14:paraId="0BA3D388" w14:textId="77777777" w:rsidR="00440396" w:rsidRDefault="00440396" w:rsidP="005C012D">
            <w:pPr>
              <w:spacing w:line="600" w:lineRule="auto"/>
            </w:pPr>
          </w:p>
        </w:tc>
        <w:tc>
          <w:tcPr>
            <w:tcW w:w="4531" w:type="dxa"/>
          </w:tcPr>
          <w:p w14:paraId="6E965E7B" w14:textId="70055D44" w:rsidR="00FD3C68" w:rsidRDefault="00FD3C68" w:rsidP="00FD3C68">
            <w:pPr>
              <w:jc w:val="both"/>
            </w:pPr>
            <w:r w:rsidRPr="00FD3C68">
              <w:rPr>
                <w:b/>
                <w:bCs/>
              </w:rPr>
              <w:lastRenderedPageBreak/>
              <w:t>« Regarder en boucle […] affaiblit »</w:t>
            </w:r>
            <w:r w:rsidR="003766C2">
              <w:rPr>
                <w:b/>
                <w:bCs/>
              </w:rPr>
              <w:t xml:space="preserve"> </w:t>
            </w:r>
            <w:r w:rsidRPr="00FD3C68">
              <w:t>Un groupe infinitif sujet est toujours traité comme un singulier en français</w:t>
            </w:r>
          </w:p>
          <w:p w14:paraId="2DDDAA96" w14:textId="77777777" w:rsidR="003766C2" w:rsidRDefault="003766C2" w:rsidP="00FD3C68">
            <w:pPr>
              <w:jc w:val="both"/>
              <w:rPr>
                <w:b/>
                <w:bCs/>
              </w:rPr>
            </w:pPr>
          </w:p>
          <w:p w14:paraId="3164558C" w14:textId="77777777" w:rsidR="003766C2" w:rsidRPr="00FD3C68" w:rsidRDefault="003766C2" w:rsidP="00FD3C68">
            <w:pPr>
              <w:jc w:val="both"/>
              <w:rPr>
                <w:b/>
                <w:bCs/>
              </w:rPr>
            </w:pPr>
          </w:p>
          <w:p w14:paraId="28A62ACA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49746BB0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3DFCCAD6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29EA282C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6FBAFAFE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159525FB" w14:textId="1713DABB" w:rsidR="00FD3C68" w:rsidRPr="00FD3C68" w:rsidRDefault="00FD3C68" w:rsidP="00FD3C68">
            <w:pPr>
              <w:jc w:val="both"/>
            </w:pPr>
            <w:r w:rsidRPr="00FD3C68">
              <w:rPr>
                <w:b/>
                <w:bCs/>
              </w:rPr>
              <w:t>« pullulent » — la consonne doublée</w:t>
            </w:r>
            <w:r w:rsidRPr="00FD3C68">
              <w:t xml:space="preserve"> Verbe issu du latin </w:t>
            </w:r>
            <w:r w:rsidRPr="00FD3C68">
              <w:rPr>
                <w:i/>
                <w:iCs/>
              </w:rPr>
              <w:t>pullulare</w:t>
            </w:r>
            <w:r w:rsidRPr="00FD3C68">
              <w:t xml:space="preserve">. Le double </w:t>
            </w:r>
            <w:r w:rsidRPr="00FD3C68">
              <w:rPr>
                <w:i/>
                <w:iCs/>
              </w:rPr>
              <w:t>l</w:t>
            </w:r>
            <w:r w:rsidRPr="00FD3C68">
              <w:t xml:space="preserve"> est imprévisible à l'oral ; il faut le mémoriser.</w:t>
            </w:r>
          </w:p>
          <w:p w14:paraId="200B474C" w14:textId="421E0D32" w:rsidR="00FD3C68" w:rsidRPr="00FD3C68" w:rsidRDefault="00FD3C68" w:rsidP="00FD3C68">
            <w:pPr>
              <w:jc w:val="both"/>
            </w:pPr>
            <w:r w:rsidRPr="00FD3C68">
              <w:rPr>
                <w:b/>
                <w:bCs/>
              </w:rPr>
              <w:t xml:space="preserve">« </w:t>
            </w:r>
            <w:r w:rsidR="003766C2">
              <w:rPr>
                <w:b/>
                <w:bCs/>
              </w:rPr>
              <w:t>N</w:t>
            </w:r>
            <w:r w:rsidRPr="00FD3C68">
              <w:rPr>
                <w:b/>
                <w:bCs/>
              </w:rPr>
              <w:t xml:space="preserve">ombre d'entre nous […] y sont accros » </w:t>
            </w:r>
            <w:r w:rsidRPr="00FD3C68">
              <w:t xml:space="preserve">L'expression </w:t>
            </w:r>
            <w:r w:rsidRPr="00FD3C68">
              <w:rPr>
                <w:i/>
                <w:iCs/>
              </w:rPr>
              <w:t>nombre d'entre nous</w:t>
            </w:r>
            <w:r w:rsidRPr="00FD3C68">
              <w:t xml:space="preserve"> entraîne un accord au pluriel. À distinguer de </w:t>
            </w:r>
            <w:r w:rsidRPr="00FD3C68">
              <w:rPr>
                <w:i/>
                <w:iCs/>
              </w:rPr>
              <w:t>le nombre de</w:t>
            </w:r>
            <w:r w:rsidRPr="00FD3C68">
              <w:t xml:space="preserve">, suivi du singulier : </w:t>
            </w:r>
            <w:r w:rsidRPr="00FD3C68">
              <w:rPr>
                <w:i/>
                <w:iCs/>
              </w:rPr>
              <w:t>Le nombre de vidéos visionnées est en hausse</w:t>
            </w:r>
            <w:r w:rsidRPr="00FD3C68">
              <w:t>.</w:t>
            </w:r>
          </w:p>
          <w:p w14:paraId="2E2DADA9" w14:textId="08368A5C" w:rsidR="00FD3C68" w:rsidRPr="00CA25CA" w:rsidRDefault="00CA25CA" w:rsidP="00FD3C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« </w:t>
            </w:r>
            <w:r w:rsidRPr="00CA25CA">
              <w:rPr>
                <w:b/>
                <w:bCs/>
              </w:rPr>
              <w:t xml:space="preserve">accros » </w:t>
            </w:r>
            <w:r w:rsidRPr="00CA25CA">
              <w:t>Il fonctionne comme adjectif et s'accorde en nombre</w:t>
            </w:r>
            <w:r>
              <w:t xml:space="preserve">. </w:t>
            </w:r>
            <w:r w:rsidRPr="00CA25CA">
              <w:t xml:space="preserve">L'invariabilité en genre est la norme : </w:t>
            </w:r>
            <w:r w:rsidRPr="003766C2">
              <w:rPr>
                <w:i/>
                <w:iCs/>
              </w:rPr>
              <w:t>elle est accro, elles sont accros</w:t>
            </w:r>
            <w:r w:rsidRPr="00CA25CA">
              <w:t>.</w:t>
            </w:r>
          </w:p>
          <w:p w14:paraId="432DBF79" w14:textId="77777777" w:rsidR="003766C2" w:rsidRDefault="003766C2" w:rsidP="00FD3C68">
            <w:pPr>
              <w:jc w:val="both"/>
              <w:rPr>
                <w:b/>
                <w:bCs/>
              </w:rPr>
            </w:pPr>
          </w:p>
          <w:p w14:paraId="58F0F0B9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45846ED3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7F507490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01C4E2B4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36E2B798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40AD5805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5FC755B7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3F8E965A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72565B5F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66BE6D98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57E2CC1A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1171D9FD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28143E3D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5B122842" w14:textId="57C47DA0" w:rsidR="00FD3C68" w:rsidRDefault="00CA25CA" w:rsidP="00FD3C68">
            <w:pPr>
              <w:jc w:val="both"/>
            </w:pPr>
            <w:r w:rsidRPr="00CA25CA">
              <w:rPr>
                <w:b/>
                <w:bCs/>
              </w:rPr>
              <w:t xml:space="preserve">« évalué » / « mesuré » / « proposé » </w:t>
            </w:r>
            <w:r w:rsidRPr="00CA25CA">
              <w:t xml:space="preserve">Dans </w:t>
            </w:r>
            <w:r w:rsidRPr="00CA25CA">
              <w:rPr>
                <w:i/>
                <w:iCs/>
              </w:rPr>
              <w:t>ils ont évalué leur degré</w:t>
            </w:r>
            <w:r w:rsidRPr="00CA25CA">
              <w:t xml:space="preserve">, </w:t>
            </w:r>
            <w:r w:rsidRPr="00CA25CA">
              <w:rPr>
                <w:i/>
                <w:iCs/>
              </w:rPr>
              <w:t>ils ont mesuré leurs capacités</w:t>
            </w:r>
            <w:r w:rsidRPr="00CA25CA">
              <w:t xml:space="preserve">, </w:t>
            </w:r>
            <w:r w:rsidRPr="00CA25CA">
              <w:rPr>
                <w:i/>
                <w:iCs/>
              </w:rPr>
              <w:t>ils ont proposé de miser</w:t>
            </w:r>
            <w:r w:rsidRPr="00CA25CA">
              <w:t>, le C</w:t>
            </w:r>
            <w:r w:rsidR="003766C2">
              <w:t>DV</w:t>
            </w:r>
            <w:r w:rsidRPr="00CA25CA">
              <w:t xml:space="preserve"> est placé après le verbe</w:t>
            </w:r>
            <w:r w:rsidR="003766C2">
              <w:t xml:space="preserve">=&gt; </w:t>
            </w:r>
            <w:r w:rsidRPr="00CA25CA">
              <w:t>les</w:t>
            </w:r>
            <w:r w:rsidR="003766C2">
              <w:t xml:space="preserve"> PP</w:t>
            </w:r>
            <w:r w:rsidRPr="00CA25CA">
              <w:t xml:space="preserve"> restent donc invariables. C'est la règle de base de l'accord avec </w:t>
            </w:r>
            <w:r w:rsidRPr="00CA25CA">
              <w:rPr>
                <w:i/>
                <w:iCs/>
              </w:rPr>
              <w:t>avoir</w:t>
            </w:r>
            <w:r w:rsidRPr="00CA25CA">
              <w:t>, souvent mal appliquée par hypercorrection (ajout d'un accord injustifié).</w:t>
            </w:r>
          </w:p>
          <w:p w14:paraId="27186F52" w14:textId="77777777" w:rsidR="00786173" w:rsidRDefault="00786173" w:rsidP="00FD3C68">
            <w:pPr>
              <w:jc w:val="both"/>
              <w:rPr>
                <w:b/>
                <w:bCs/>
              </w:rPr>
            </w:pPr>
          </w:p>
          <w:p w14:paraId="60B0CDF2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306FC2A0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34096EFE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5A222193" w14:textId="4A8A3B15" w:rsidR="00786173" w:rsidRPr="005C012D" w:rsidRDefault="00FD3C68" w:rsidP="00FD3C68">
            <w:pPr>
              <w:jc w:val="both"/>
            </w:pPr>
            <w:r w:rsidRPr="00FD3C68">
              <w:rPr>
                <w:b/>
                <w:bCs/>
              </w:rPr>
              <w:lastRenderedPageBreak/>
              <w:t>« ils leur ont proposé de miser »</w:t>
            </w:r>
            <w:r w:rsidRPr="00FD3C68">
              <w:t xml:space="preserve"> Ici </w:t>
            </w:r>
            <w:r w:rsidRPr="00FD3C68">
              <w:rPr>
                <w:i/>
                <w:iCs/>
              </w:rPr>
              <w:t>leur</w:t>
            </w:r>
            <w:r w:rsidRPr="00FD3C68">
              <w:t xml:space="preserve"> est un pronom personnel complément</w:t>
            </w:r>
            <w:r w:rsidR="00786173" w:rsidRPr="00786173">
              <w:t xml:space="preserve">, représentant </w:t>
            </w:r>
            <w:r w:rsidR="00786173" w:rsidRPr="00786173">
              <w:rPr>
                <w:i/>
                <w:iCs/>
              </w:rPr>
              <w:t>les étudiants</w:t>
            </w:r>
            <w:r w:rsidR="00786173" w:rsidRPr="00786173">
              <w:t xml:space="preserve">. Il est invariable : on ne l'accorde jamais, quelle que soit la quantité de personnes désignées. </w:t>
            </w:r>
            <w:r w:rsidR="00786173" w:rsidRPr="00786173">
              <w:rPr>
                <w:i/>
                <w:iCs/>
              </w:rPr>
              <w:t>Ils leur ont proposé</w:t>
            </w:r>
            <w:r w:rsidR="00786173" w:rsidRPr="00786173">
              <w:t xml:space="preserve"> = ils ont proposé </w:t>
            </w:r>
            <w:r w:rsidR="00786173" w:rsidRPr="00786173">
              <w:rPr>
                <w:b/>
                <w:bCs/>
              </w:rPr>
              <w:t>à eux</w:t>
            </w:r>
            <w:r w:rsidR="00786173" w:rsidRPr="00786173">
              <w:t xml:space="preserve"> (aux étudiants).</w:t>
            </w:r>
            <w:r w:rsidR="00786173">
              <w:t xml:space="preserve"> </w:t>
            </w:r>
            <w:r w:rsidR="00786173" w:rsidRPr="00786173">
              <w:rPr>
                <w:color w:val="0070C0"/>
              </w:rPr>
              <w:t>Astuce :</w:t>
            </w:r>
            <w:r w:rsidR="00786173">
              <w:rPr>
                <w:color w:val="0070C0"/>
              </w:rPr>
              <w:t xml:space="preserve"> </w:t>
            </w:r>
            <w:r w:rsidR="00786173" w:rsidRPr="00786173">
              <w:rPr>
                <w:color w:val="000000" w:themeColor="text1"/>
              </w:rPr>
              <w:t>S</w:t>
            </w:r>
            <w:r w:rsidR="00786173" w:rsidRPr="00786173">
              <w:rPr>
                <w:color w:val="000000" w:themeColor="text1"/>
              </w:rPr>
              <w:t>i</w:t>
            </w:r>
            <w:r w:rsidR="00786173" w:rsidRPr="00786173">
              <w:t xml:space="preserve"> </w:t>
            </w:r>
            <w:r w:rsidR="00786173" w:rsidRPr="00786173">
              <w:rPr>
                <w:i/>
                <w:iCs/>
              </w:rPr>
              <w:t>leur</w:t>
            </w:r>
            <w:r w:rsidR="00786173" w:rsidRPr="00786173">
              <w:t xml:space="preserve"> peut être remplacé par lui (singulier) sans changer la structure de la phrase, c'est un pronom C</w:t>
            </w:r>
            <w:r w:rsidR="00786173">
              <w:t>IV</w:t>
            </w:r>
            <w:r w:rsidR="00786173" w:rsidRPr="00786173">
              <w:t xml:space="preserve"> invariable</w:t>
            </w:r>
            <w:r w:rsidR="00786173">
              <w:t>.</w:t>
            </w:r>
          </w:p>
          <w:p w14:paraId="7CA8555C" w14:textId="5DFC95F0" w:rsidR="005C012D" w:rsidRDefault="00FD3C68" w:rsidP="00FD3C68">
            <w:pPr>
              <w:jc w:val="both"/>
              <w:rPr>
                <w:i/>
                <w:iCs/>
              </w:rPr>
            </w:pPr>
            <w:r w:rsidRPr="00FD3C68">
              <w:rPr>
                <w:b/>
                <w:bCs/>
              </w:rPr>
              <w:t xml:space="preserve">« les montants […] variant à chaque essai » </w:t>
            </w:r>
            <w:r w:rsidRPr="00FD3C68">
              <w:rPr>
                <w:i/>
                <w:iCs/>
              </w:rPr>
              <w:t>Variant</w:t>
            </w:r>
            <w:r w:rsidRPr="00FD3C68">
              <w:t xml:space="preserve"> est un participe présent, invariable. Il ne faut pas le confondre avec l'adjectif verbal </w:t>
            </w:r>
            <w:r w:rsidRPr="00FD3C68">
              <w:rPr>
                <w:i/>
                <w:iCs/>
              </w:rPr>
              <w:t>variante/variants</w:t>
            </w:r>
            <w:r w:rsidRPr="00FD3C68">
              <w:t>, qui lui s'accorde.</w:t>
            </w:r>
            <w:r w:rsidR="00786173">
              <w:t xml:space="preserve"> </w:t>
            </w:r>
            <w:r w:rsidR="00786173" w:rsidRPr="00786173">
              <w:rPr>
                <w:color w:val="0070C0"/>
              </w:rPr>
              <w:t xml:space="preserve">Astuce </w:t>
            </w:r>
            <w:r w:rsidRPr="00786173">
              <w:rPr>
                <w:color w:val="0070C0"/>
              </w:rPr>
              <w:t>:</w:t>
            </w:r>
            <w:r w:rsidRPr="00FD3C68">
              <w:t xml:space="preserve"> </w:t>
            </w:r>
            <w:r w:rsidR="00786173" w:rsidRPr="005C012D">
              <w:t>Placer « </w:t>
            </w:r>
            <w:r w:rsidR="00786173" w:rsidRPr="005C012D">
              <w:t>très</w:t>
            </w:r>
            <w:r w:rsidR="00786173" w:rsidRPr="005C012D">
              <w:t> » avant pour vérifier s’il s’agit d’un adj verbal</w:t>
            </w:r>
            <w:r w:rsidR="00786173" w:rsidRPr="00786173">
              <w:t xml:space="preserve"> → </w:t>
            </w:r>
            <w:r w:rsidR="00786173" w:rsidRPr="00786173">
              <w:rPr>
                <w:i/>
                <w:iCs/>
              </w:rPr>
              <w:t xml:space="preserve">*les montants </w:t>
            </w:r>
            <w:r w:rsidR="00786173" w:rsidRPr="00786173">
              <w:rPr>
                <w:b/>
                <w:bCs/>
                <w:i/>
                <w:iCs/>
              </w:rPr>
              <w:t>très</w:t>
            </w:r>
            <w:r w:rsidR="00786173" w:rsidRPr="00786173">
              <w:rPr>
                <w:i/>
                <w:iCs/>
              </w:rPr>
              <w:t xml:space="preserve"> variants</w:t>
            </w:r>
            <w:r w:rsidR="00786173" w:rsidRPr="00786173">
              <w:t xml:space="preserve"> </w:t>
            </w:r>
            <w:r w:rsidR="00786173" w:rsidRPr="00786173">
              <w:rPr>
                <w:rFonts w:ascii="Segoe UI Symbol" w:hAnsi="Segoe UI Symbol" w:cs="Segoe UI Symbol"/>
              </w:rPr>
              <w:t>✗</w:t>
            </w:r>
            <w:r w:rsidR="00786173" w:rsidRPr="00786173">
              <w:t xml:space="preserve"> ; </w:t>
            </w:r>
            <w:r w:rsidR="00786173">
              <w:t xml:space="preserve">Utiliser </w:t>
            </w:r>
            <w:r w:rsidR="00786173" w:rsidRPr="00786173">
              <w:rPr>
                <w:b/>
                <w:bCs/>
              </w:rPr>
              <w:t>« </w:t>
            </w:r>
            <w:r w:rsidR="00786173" w:rsidRPr="00786173">
              <w:rPr>
                <w:b/>
                <w:bCs/>
                <w:i/>
                <w:iCs/>
              </w:rPr>
              <w:t>ne…pas</w:t>
            </w:r>
            <w:r w:rsidR="00786173" w:rsidRPr="00786173">
              <w:rPr>
                <w:b/>
                <w:bCs/>
                <w:i/>
                <w:iCs/>
              </w:rPr>
              <w:t> »</w:t>
            </w:r>
            <w:r w:rsidR="00786173" w:rsidRPr="00786173">
              <w:t xml:space="preserve"> </w:t>
            </w:r>
            <w:r w:rsidR="00786173">
              <w:rPr>
                <w:i/>
                <w:iCs/>
              </w:rPr>
              <w:t>pour vérifier s’il s’agit d’un</w:t>
            </w:r>
            <w:r w:rsidR="00786173">
              <w:rPr>
                <w:i/>
                <w:iCs/>
              </w:rPr>
              <w:t xml:space="preserve"> participe présent</w:t>
            </w:r>
            <w:r w:rsidR="00786173">
              <w:rPr>
                <w:i/>
                <w:iCs/>
              </w:rPr>
              <w:t xml:space="preserve"> </w:t>
            </w:r>
            <w:r w:rsidR="00786173" w:rsidRPr="00786173">
              <w:t xml:space="preserve">→ </w:t>
            </w:r>
            <w:r w:rsidR="00786173" w:rsidRPr="00786173">
              <w:rPr>
                <w:i/>
                <w:iCs/>
              </w:rPr>
              <w:t>les montants ne variant pas</w:t>
            </w:r>
            <w:r w:rsidR="005C012D">
              <w:rPr>
                <w:i/>
                <w:iCs/>
              </w:rPr>
              <w:t>.</w:t>
            </w:r>
          </w:p>
          <w:p w14:paraId="7E121E6C" w14:textId="6F3FC653" w:rsidR="00FD3C68" w:rsidRDefault="00CA25CA" w:rsidP="00FD3C68">
            <w:pPr>
              <w:jc w:val="both"/>
            </w:pPr>
            <w:r w:rsidRPr="00CA25CA">
              <w:rPr>
                <w:b/>
                <w:bCs/>
              </w:rPr>
              <w:t>« addictes »</w:t>
            </w:r>
            <w:r w:rsidRPr="00CA25CA">
              <w:t xml:space="preserve"> Emprunté directement à l'anglais. Il suit les règles d'accord du français. À ne pas confondre avec le nom anglais invariable.</w:t>
            </w:r>
          </w:p>
          <w:p w14:paraId="2E723B55" w14:textId="77777777" w:rsidR="00FD3C68" w:rsidRDefault="00FD3C68" w:rsidP="00FD3C68">
            <w:pPr>
              <w:jc w:val="both"/>
            </w:pPr>
          </w:p>
          <w:p w14:paraId="781A2A61" w14:textId="77777777" w:rsidR="003766C2" w:rsidRDefault="003766C2" w:rsidP="00FD3C68">
            <w:pPr>
              <w:jc w:val="both"/>
            </w:pPr>
          </w:p>
          <w:p w14:paraId="7F960E63" w14:textId="77777777" w:rsidR="005C012D" w:rsidRDefault="005C012D" w:rsidP="003766C2">
            <w:pPr>
              <w:jc w:val="both"/>
              <w:rPr>
                <w:b/>
                <w:bCs/>
              </w:rPr>
            </w:pPr>
          </w:p>
          <w:p w14:paraId="7ACDB9F4" w14:textId="77777777" w:rsidR="005C012D" w:rsidRDefault="005C012D" w:rsidP="003766C2">
            <w:pPr>
              <w:jc w:val="both"/>
              <w:rPr>
                <w:b/>
                <w:bCs/>
              </w:rPr>
            </w:pPr>
          </w:p>
          <w:p w14:paraId="280F0ACE" w14:textId="77777777" w:rsidR="005C012D" w:rsidRDefault="005C012D" w:rsidP="003766C2">
            <w:pPr>
              <w:jc w:val="both"/>
              <w:rPr>
                <w:b/>
                <w:bCs/>
              </w:rPr>
            </w:pPr>
          </w:p>
          <w:p w14:paraId="7A951B82" w14:textId="77777777" w:rsidR="005C012D" w:rsidRDefault="005C012D" w:rsidP="003766C2">
            <w:pPr>
              <w:jc w:val="both"/>
              <w:rPr>
                <w:b/>
                <w:bCs/>
              </w:rPr>
            </w:pPr>
          </w:p>
          <w:p w14:paraId="41DC87BE" w14:textId="77777777" w:rsidR="005C012D" w:rsidRDefault="005C012D" w:rsidP="003766C2">
            <w:pPr>
              <w:jc w:val="both"/>
              <w:rPr>
                <w:b/>
                <w:bCs/>
              </w:rPr>
            </w:pPr>
          </w:p>
          <w:p w14:paraId="5CAEBC1E" w14:textId="77777777" w:rsidR="005C012D" w:rsidRDefault="005C012D" w:rsidP="003766C2">
            <w:pPr>
              <w:jc w:val="both"/>
              <w:rPr>
                <w:b/>
                <w:bCs/>
              </w:rPr>
            </w:pPr>
          </w:p>
          <w:p w14:paraId="0CDDD7EE" w14:textId="44506E92" w:rsidR="003766C2" w:rsidRPr="003766C2" w:rsidRDefault="00FD3C68" w:rsidP="003766C2">
            <w:pPr>
              <w:jc w:val="both"/>
              <w:rPr>
                <w:b/>
                <w:bCs/>
              </w:rPr>
            </w:pPr>
            <w:r w:rsidRPr="00FD3C68">
              <w:rPr>
                <w:b/>
                <w:bCs/>
              </w:rPr>
              <w:t>« une zone […] voit son activité diminuer</w:t>
            </w:r>
            <w:r w:rsidR="003766C2">
              <w:rPr>
                <w:b/>
                <w:bCs/>
              </w:rPr>
              <w:t> »</w:t>
            </w:r>
          </w:p>
          <w:p w14:paraId="35B183BA" w14:textId="7F96CD7C" w:rsidR="003766C2" w:rsidRPr="003766C2" w:rsidRDefault="003766C2" w:rsidP="003766C2">
            <w:pPr>
              <w:jc w:val="both"/>
            </w:pPr>
            <w:r w:rsidRPr="003766C2">
              <w:t>Après les verbes de perception (</w:t>
            </w:r>
            <w:r w:rsidRPr="003766C2">
              <w:rPr>
                <w:i/>
                <w:iCs/>
              </w:rPr>
              <w:t>voir</w:t>
            </w:r>
            <w:r w:rsidRPr="003766C2">
              <w:t xml:space="preserve">, </w:t>
            </w:r>
            <w:r w:rsidRPr="003766C2">
              <w:rPr>
                <w:i/>
                <w:iCs/>
              </w:rPr>
              <w:t>entendre</w:t>
            </w:r>
            <w:r w:rsidRPr="003766C2">
              <w:t xml:space="preserve">, </w:t>
            </w:r>
            <w:r w:rsidRPr="003766C2">
              <w:rPr>
                <w:i/>
                <w:iCs/>
              </w:rPr>
              <w:t>sentir</w:t>
            </w:r>
            <w:r w:rsidRPr="003766C2">
              <w:t xml:space="preserve">, </w:t>
            </w:r>
            <w:r w:rsidRPr="003766C2">
              <w:rPr>
                <w:i/>
                <w:iCs/>
              </w:rPr>
              <w:t>regarder</w:t>
            </w:r>
            <w:r w:rsidRPr="003766C2">
              <w:t xml:space="preserve">, </w:t>
            </w:r>
            <w:r w:rsidRPr="003766C2">
              <w:rPr>
                <w:i/>
                <w:iCs/>
              </w:rPr>
              <w:t>écouter</w:t>
            </w:r>
            <w:r w:rsidRPr="003766C2">
              <w:t xml:space="preserve">), le verbe qui suit se met à l'infinitif et non au participe passé. </w:t>
            </w:r>
          </w:p>
          <w:p w14:paraId="0F7BF21A" w14:textId="76174E3C" w:rsidR="00FD3C68" w:rsidRDefault="00FD3C68" w:rsidP="00FD3C68">
            <w:pPr>
              <w:jc w:val="both"/>
            </w:pPr>
          </w:p>
          <w:p w14:paraId="7C49369C" w14:textId="77777777" w:rsidR="003766C2" w:rsidRDefault="003766C2" w:rsidP="00FD3C68">
            <w:pPr>
              <w:jc w:val="both"/>
              <w:rPr>
                <w:b/>
                <w:bCs/>
              </w:rPr>
            </w:pPr>
          </w:p>
          <w:p w14:paraId="4A5D28EB" w14:textId="77777777" w:rsidR="003766C2" w:rsidRDefault="003766C2" w:rsidP="00FD3C68">
            <w:pPr>
              <w:jc w:val="both"/>
              <w:rPr>
                <w:b/>
                <w:bCs/>
              </w:rPr>
            </w:pPr>
          </w:p>
          <w:p w14:paraId="1E506EB7" w14:textId="77777777" w:rsidR="003766C2" w:rsidRDefault="003766C2" w:rsidP="00FD3C68">
            <w:pPr>
              <w:jc w:val="both"/>
              <w:rPr>
                <w:b/>
                <w:bCs/>
              </w:rPr>
            </w:pPr>
          </w:p>
          <w:p w14:paraId="1A84A98D" w14:textId="77777777" w:rsidR="003766C2" w:rsidRDefault="003766C2" w:rsidP="00FD3C68">
            <w:pPr>
              <w:jc w:val="both"/>
              <w:rPr>
                <w:b/>
                <w:bCs/>
              </w:rPr>
            </w:pPr>
          </w:p>
          <w:p w14:paraId="0DB49623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1AFB6EBE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77A6B562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20CD7FC1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636A64D3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4A822ECC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5C9D3B13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164DFC0F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43A8868F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138A3F7C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068F5F13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1C5A7031" w14:textId="77777777" w:rsidR="005C012D" w:rsidRDefault="003766C2" w:rsidP="00FD3C68">
            <w:pPr>
              <w:jc w:val="both"/>
              <w:rPr>
                <w:color w:val="0070C0"/>
              </w:rPr>
            </w:pPr>
            <w:r w:rsidRPr="003766C2">
              <w:rPr>
                <w:b/>
                <w:bCs/>
              </w:rPr>
              <w:lastRenderedPageBreak/>
              <w:t>« fréquemment »</w:t>
            </w:r>
            <w:r w:rsidRPr="003766C2">
              <w:t xml:space="preserve"> Les adverbes en </w:t>
            </w:r>
            <w:r w:rsidRPr="003766C2">
              <w:rPr>
                <w:i/>
                <w:iCs/>
              </w:rPr>
              <w:t>-emment</w:t>
            </w:r>
            <w:r w:rsidRPr="003766C2">
              <w:t xml:space="preserve"> se forment sur les adjectifs en </w:t>
            </w:r>
            <w:r w:rsidRPr="003766C2">
              <w:rPr>
                <w:i/>
                <w:iCs/>
              </w:rPr>
              <w:t>-ent</w:t>
            </w:r>
            <w:r w:rsidRPr="003766C2">
              <w:t xml:space="preserve"> : </w:t>
            </w:r>
            <w:r w:rsidRPr="003766C2">
              <w:rPr>
                <w:i/>
                <w:iCs/>
              </w:rPr>
              <w:t>fréquent</w:t>
            </w:r>
            <w:r w:rsidRPr="003766C2">
              <w:t xml:space="preserve"> → </w:t>
            </w:r>
            <w:r w:rsidRPr="003766C2">
              <w:rPr>
                <w:i/>
                <w:iCs/>
              </w:rPr>
              <w:t>fréquemment</w:t>
            </w:r>
            <w:r w:rsidRPr="003766C2">
              <w:t>. La difficulté est que la prononciation (</w:t>
            </w:r>
            <w:r w:rsidRPr="003766C2">
              <w:rPr>
                <w:i/>
                <w:iCs/>
              </w:rPr>
              <w:t>-aman</w:t>
            </w:r>
            <w:r w:rsidRPr="003766C2">
              <w:t xml:space="preserve">) ne permet pas de distinguer </w:t>
            </w:r>
            <w:r w:rsidRPr="003766C2">
              <w:rPr>
                <w:i/>
                <w:iCs/>
              </w:rPr>
              <w:t>-emment</w:t>
            </w:r>
            <w:r w:rsidRPr="003766C2">
              <w:t xml:space="preserve"> (de </w:t>
            </w:r>
            <w:r w:rsidRPr="003766C2">
              <w:rPr>
                <w:i/>
                <w:iCs/>
              </w:rPr>
              <w:t>-ent</w:t>
            </w:r>
            <w:r w:rsidRPr="003766C2">
              <w:t xml:space="preserve">) de </w:t>
            </w:r>
            <w:r w:rsidRPr="003766C2">
              <w:rPr>
                <w:i/>
                <w:iCs/>
              </w:rPr>
              <w:t>-amment</w:t>
            </w:r>
            <w:r w:rsidRPr="003766C2">
              <w:t xml:space="preserve"> (de </w:t>
            </w:r>
            <w:r w:rsidRPr="003766C2">
              <w:rPr>
                <w:i/>
                <w:iCs/>
              </w:rPr>
              <w:t>-ant</w:t>
            </w:r>
            <w:r w:rsidRPr="003766C2">
              <w:t xml:space="preserve">) : </w:t>
            </w:r>
            <w:r w:rsidRPr="003766C2">
              <w:rPr>
                <w:i/>
                <w:iCs/>
              </w:rPr>
              <w:t>brillant</w:t>
            </w:r>
            <w:r w:rsidRPr="003766C2">
              <w:t xml:space="preserve"> → </w:t>
            </w:r>
            <w:r w:rsidRPr="003766C2">
              <w:rPr>
                <w:i/>
                <w:iCs/>
              </w:rPr>
              <w:t>brillamment</w:t>
            </w:r>
            <w:r w:rsidRPr="003766C2">
              <w:t xml:space="preserve">. </w:t>
            </w:r>
          </w:p>
          <w:p w14:paraId="2CF3C61E" w14:textId="1DBD0985" w:rsidR="00FD3C68" w:rsidRDefault="005C012D" w:rsidP="00FD3C68">
            <w:pPr>
              <w:jc w:val="both"/>
            </w:pPr>
            <w:r>
              <w:rPr>
                <w:color w:val="0070C0"/>
              </w:rPr>
              <w:t xml:space="preserve">Astuce </w:t>
            </w:r>
            <w:r w:rsidR="003766C2" w:rsidRPr="003766C2">
              <w:t xml:space="preserve">: si l'adjectif se termine par </w:t>
            </w:r>
            <w:r w:rsidR="003766C2" w:rsidRPr="003766C2">
              <w:rPr>
                <w:i/>
                <w:iCs/>
              </w:rPr>
              <w:t>-ent</w:t>
            </w:r>
            <w:r w:rsidR="003766C2" w:rsidRPr="003766C2">
              <w:t xml:space="preserve">, l'adverbe prend </w:t>
            </w:r>
            <w:r w:rsidR="003766C2" w:rsidRPr="003766C2">
              <w:rPr>
                <w:i/>
                <w:iCs/>
              </w:rPr>
              <w:t>-emment</w:t>
            </w:r>
            <w:r w:rsidR="003766C2" w:rsidRPr="003766C2">
              <w:t xml:space="preserve"> ; s'il se termine par </w:t>
            </w:r>
            <w:r w:rsidR="003766C2" w:rsidRPr="003766C2">
              <w:rPr>
                <w:i/>
                <w:iCs/>
              </w:rPr>
              <w:t>-ant</w:t>
            </w:r>
            <w:r w:rsidR="003766C2" w:rsidRPr="003766C2">
              <w:t xml:space="preserve">, il prend </w:t>
            </w:r>
            <w:r w:rsidR="003766C2" w:rsidRPr="003766C2">
              <w:rPr>
                <w:i/>
                <w:iCs/>
              </w:rPr>
              <w:t>-amment</w:t>
            </w:r>
            <w:r w:rsidR="003766C2" w:rsidRPr="003766C2">
              <w:t>.</w:t>
            </w:r>
          </w:p>
          <w:p w14:paraId="179A876C" w14:textId="77777777" w:rsidR="003766C2" w:rsidRDefault="003766C2" w:rsidP="00FD3C68">
            <w:pPr>
              <w:jc w:val="both"/>
              <w:rPr>
                <w:b/>
                <w:bCs/>
              </w:rPr>
            </w:pPr>
          </w:p>
          <w:p w14:paraId="2057813D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7096045D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141C0AB7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61A1FBB7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7ABA8CFF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1E1E909F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705E3000" w14:textId="77777777" w:rsidR="005C012D" w:rsidRDefault="005C012D" w:rsidP="00FD3C68">
            <w:pPr>
              <w:jc w:val="both"/>
              <w:rPr>
                <w:b/>
                <w:bCs/>
              </w:rPr>
            </w:pPr>
          </w:p>
          <w:p w14:paraId="26F6B4B1" w14:textId="6401532E" w:rsidR="00FD3C68" w:rsidRDefault="00FD3C68" w:rsidP="00FD3C68">
            <w:pPr>
              <w:jc w:val="both"/>
            </w:pPr>
            <w:r w:rsidRPr="00FD3C68">
              <w:rPr>
                <w:b/>
                <w:bCs/>
              </w:rPr>
              <w:t xml:space="preserve">« </w:t>
            </w:r>
            <w:r w:rsidR="003766C2" w:rsidRPr="003766C2">
              <w:rPr>
                <w:b/>
                <w:bCs/>
              </w:rPr>
              <w:t>À</w:t>
            </w:r>
            <w:r w:rsidR="003766C2" w:rsidRPr="00FD3C68">
              <w:rPr>
                <w:b/>
                <w:bCs/>
              </w:rPr>
              <w:t xml:space="preserve"> </w:t>
            </w:r>
            <w:r w:rsidRPr="00FD3C68">
              <w:rPr>
                <w:b/>
                <w:bCs/>
              </w:rPr>
              <w:t xml:space="preserve">vos risques et périls » </w:t>
            </w:r>
            <w:r w:rsidRPr="00FD3C68">
              <w:t>Cette expression idiomatique</w:t>
            </w:r>
            <w:r w:rsidR="005C012D">
              <w:t xml:space="preserve"> (figée)</w:t>
            </w:r>
            <w:r w:rsidRPr="00FD3C68">
              <w:t xml:space="preserve"> s'écrit toujours avec </w:t>
            </w:r>
            <w:r w:rsidRPr="00FD3C68">
              <w:rPr>
                <w:i/>
                <w:iCs/>
              </w:rPr>
              <w:t>risques</w:t>
            </w:r>
            <w:r w:rsidRPr="00FD3C68">
              <w:t xml:space="preserve"> et </w:t>
            </w:r>
            <w:r w:rsidRPr="00FD3C68">
              <w:rPr>
                <w:i/>
                <w:iCs/>
              </w:rPr>
              <w:t>périls</w:t>
            </w:r>
            <w:r w:rsidRPr="00FD3C68">
              <w:t xml:space="preserve"> au pluriel.</w:t>
            </w:r>
          </w:p>
        </w:tc>
      </w:tr>
    </w:tbl>
    <w:p w14:paraId="713393E3" w14:textId="77777777" w:rsidR="00742271" w:rsidRDefault="00742271" w:rsidP="00742271"/>
    <w:p w14:paraId="208CA4BB" w14:textId="5C016EAB" w:rsidR="00CE5CDF" w:rsidRDefault="00FD3C68">
      <w:r>
        <w:t>Texte i</w:t>
      </w:r>
      <w:r w:rsidR="00742271">
        <w:t xml:space="preserve">nspiré de : </w:t>
      </w:r>
      <w:hyperlink r:id="rId8" w:history="1">
        <w:r w:rsidR="00742271" w:rsidRPr="00742271">
          <w:rPr>
            <w:rStyle w:val="Lienhypertexte"/>
          </w:rPr>
          <w:t>CERVEAU &amp; PSYCHO N° 180</w:t>
        </w:r>
      </w:hyperlink>
      <w:r w:rsidR="00742271">
        <w:t xml:space="preserve">, </w:t>
      </w:r>
      <w:r w:rsidR="00742271" w:rsidRPr="00742271">
        <w:t>04 septembre 2025</w:t>
      </w:r>
      <w:r w:rsidR="00742271">
        <w:t>.</w:t>
      </w:r>
    </w:p>
    <w:p w14:paraId="0CA3F108" w14:textId="689C6A12" w:rsidR="00FD3C68" w:rsidRPr="00CA25CA" w:rsidRDefault="00FD3C68">
      <w:r w:rsidRPr="00CA25CA">
        <w:t>Explications grammaticales générées</w:t>
      </w:r>
      <w:r w:rsidR="00CA25CA" w:rsidRPr="00CA25CA">
        <w:t xml:space="preserve"> en partie avec </w:t>
      </w:r>
      <w:r w:rsidR="00CA25CA" w:rsidRPr="00CA25CA">
        <w:rPr>
          <w:i/>
          <w:iCs/>
        </w:rPr>
        <w:t>Claude</w:t>
      </w:r>
      <w:r w:rsidRPr="00CA25CA">
        <w:rPr>
          <w:i/>
          <w:iCs/>
        </w:rPr>
        <w:t xml:space="preserve"> AI</w:t>
      </w:r>
      <w:r w:rsidR="00CA25CA" w:rsidRPr="00CA25CA">
        <w:t>.</w:t>
      </w:r>
    </w:p>
    <w:sectPr w:rsidR="00FD3C68" w:rsidRPr="00CA25C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7EDB2" w14:textId="77777777" w:rsidR="002B7468" w:rsidRDefault="002B7468" w:rsidP="00025F51">
      <w:pPr>
        <w:spacing w:after="0" w:line="240" w:lineRule="auto"/>
      </w:pPr>
      <w:r>
        <w:separator/>
      </w:r>
    </w:p>
  </w:endnote>
  <w:endnote w:type="continuationSeparator" w:id="0">
    <w:p w14:paraId="37B87246" w14:textId="77777777" w:rsidR="002B7468" w:rsidRDefault="002B7468" w:rsidP="0002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15542" w14:textId="77777777" w:rsidR="002B7468" w:rsidRDefault="002B7468" w:rsidP="00025F51">
      <w:pPr>
        <w:spacing w:after="0" w:line="240" w:lineRule="auto"/>
      </w:pPr>
      <w:r>
        <w:separator/>
      </w:r>
    </w:p>
  </w:footnote>
  <w:footnote w:type="continuationSeparator" w:id="0">
    <w:p w14:paraId="5755F15C" w14:textId="77777777" w:rsidR="002B7468" w:rsidRDefault="002B7468" w:rsidP="00025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59DFA" w14:textId="784D5DC3" w:rsidR="00025F51" w:rsidRPr="00025F51" w:rsidRDefault="00025F51">
    <w:pPr>
      <w:pStyle w:val="En-tte"/>
      <w:rPr>
        <w:b/>
        <w:bCs/>
        <w:color w:val="E97132" w:themeColor="accent2"/>
        <w:lang w:val="fr-FR"/>
      </w:rPr>
    </w:pPr>
    <w:r w:rsidRPr="00025F51">
      <w:rPr>
        <w:b/>
        <w:bCs/>
        <w:color w:val="E97132" w:themeColor="accent2"/>
        <w:lang w:val="fr-FR"/>
      </w:rPr>
      <w:t xml:space="preserve">UE 109 </w:t>
    </w:r>
  </w:p>
  <w:p w14:paraId="32705B42" w14:textId="77777777" w:rsidR="00025F51" w:rsidRPr="00025F51" w:rsidRDefault="00025F51">
    <w:pPr>
      <w:pStyle w:val="En-tte"/>
      <w:rPr>
        <w:b/>
        <w:bCs/>
        <w:color w:val="E97132" w:themeColor="accent2"/>
        <w:lang w:val="fr-FR"/>
      </w:rPr>
    </w:pPr>
  </w:p>
  <w:p w14:paraId="45FFD2CB" w14:textId="11F9CFD3" w:rsidR="00025F51" w:rsidRPr="00025F51" w:rsidRDefault="00025F51" w:rsidP="00025F51">
    <w:pPr>
      <w:pStyle w:val="En-tte"/>
      <w:jc w:val="center"/>
      <w:rPr>
        <w:b/>
        <w:bCs/>
        <w:color w:val="E97132" w:themeColor="accent2"/>
        <w:lang w:val="fr-FR"/>
      </w:rPr>
    </w:pPr>
    <w:r w:rsidRPr="00025F51">
      <w:rPr>
        <w:b/>
        <w:bCs/>
        <w:color w:val="E97132" w:themeColor="accent2"/>
        <w:lang w:val="fr-FR"/>
      </w:rPr>
      <w:t>Défi du jour CORRIG</w:t>
    </w:r>
    <w:r>
      <w:rPr>
        <w:b/>
        <w:bCs/>
        <w:color w:val="E97132" w:themeColor="accent2"/>
        <w:lang w:val="fr-FR"/>
      </w:rPr>
      <w:t>É</w:t>
    </w:r>
    <w:r w:rsidRPr="00025F51">
      <w:rPr>
        <w:b/>
        <w:bCs/>
        <w:color w:val="E97132" w:themeColor="accent2"/>
        <w:lang w:val="fr-FR"/>
      </w:rPr>
      <w:t xml:space="preserve"> de la dictée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1B95"/>
    <w:multiLevelType w:val="multilevel"/>
    <w:tmpl w:val="C36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5513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271"/>
    <w:rsid w:val="00025F51"/>
    <w:rsid w:val="001F18F9"/>
    <w:rsid w:val="00205272"/>
    <w:rsid w:val="002B7468"/>
    <w:rsid w:val="003766C2"/>
    <w:rsid w:val="00440396"/>
    <w:rsid w:val="005C012D"/>
    <w:rsid w:val="00742271"/>
    <w:rsid w:val="00786173"/>
    <w:rsid w:val="007A1358"/>
    <w:rsid w:val="00CA25CA"/>
    <w:rsid w:val="00CE5CDF"/>
    <w:rsid w:val="00FD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E1B00"/>
  <w15:chartTrackingRefBased/>
  <w15:docId w15:val="{205D19E1-A160-44DC-95EF-AA9BB6B7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42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2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2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2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2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2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2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2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2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2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2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2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227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227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22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22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22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22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2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2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2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2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2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227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227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227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2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227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227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4227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227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25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5F51"/>
  </w:style>
  <w:style w:type="paragraph" w:styleId="Pieddepage">
    <w:name w:val="footer"/>
    <w:basedOn w:val="Normal"/>
    <w:link w:val="PieddepageCar"/>
    <w:uiPriority w:val="99"/>
    <w:unhideWhenUsed/>
    <w:rsid w:val="00025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5F51"/>
  </w:style>
  <w:style w:type="table" w:styleId="Grilledutableau">
    <w:name w:val="Table Grid"/>
    <w:basedOn w:val="TableauNormal"/>
    <w:uiPriority w:val="39"/>
    <w:rsid w:val="00440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rveauetpsycho.fr/theme/sommeil/cerveau-psycho-n180-28106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erveauetpsycho.fr/auteur/albane-clave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720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BORER</dc:creator>
  <cp:keywords/>
  <dc:description/>
  <cp:lastModifiedBy>Pauline BORER</cp:lastModifiedBy>
  <cp:revision>2</cp:revision>
  <dcterms:created xsi:type="dcterms:W3CDTF">2026-03-11T15:36:00Z</dcterms:created>
  <dcterms:modified xsi:type="dcterms:W3CDTF">2026-03-11T17:38:00Z</dcterms:modified>
</cp:coreProperties>
</file>